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5" w:rsidRDefault="003F3B25" w:rsidP="003F3B25">
      <w:pPr>
        <w:jc w:val="center"/>
        <w:rPr>
          <w:rFonts w:ascii="黑体" w:eastAsia="黑体" w:hAnsi="黑体"/>
          <w:color w:val="0F0F0F"/>
          <w:sz w:val="32"/>
          <w:szCs w:val="32"/>
        </w:rPr>
      </w:pPr>
      <w:r w:rsidRPr="003F3B25">
        <w:rPr>
          <w:rFonts w:ascii="黑体" w:eastAsia="黑体" w:hAnsi="黑体"/>
          <w:color w:val="0F0F0F"/>
          <w:sz w:val="32"/>
          <w:szCs w:val="32"/>
        </w:rPr>
        <w:t>北京体育大学学位评定委员会章程</w:t>
      </w:r>
    </w:p>
    <w:p w:rsidR="00111380" w:rsidRDefault="00111380" w:rsidP="003F3B25">
      <w:pPr>
        <w:jc w:val="center"/>
        <w:rPr>
          <w:rFonts w:ascii="黑体" w:eastAsia="黑体" w:hAnsi="黑体" w:hint="eastAsia"/>
          <w:color w:val="0F0F0F"/>
          <w:sz w:val="32"/>
          <w:szCs w:val="32"/>
        </w:rPr>
      </w:pPr>
      <w:bookmarkStart w:id="0" w:name="_GoBack"/>
      <w:r>
        <w:rPr>
          <w:rFonts w:ascii="黑体" w:eastAsia="黑体" w:hAnsi="黑体" w:hint="eastAsia"/>
          <w:color w:val="0F0F0F"/>
          <w:sz w:val="32"/>
          <w:szCs w:val="32"/>
        </w:rPr>
        <w:t>（</w:t>
      </w:r>
      <w:r w:rsidRPr="00111380">
        <w:rPr>
          <w:rFonts w:ascii="黑体" w:eastAsia="黑体" w:hAnsi="黑体" w:hint="eastAsia"/>
          <w:color w:val="0F0F0F"/>
          <w:sz w:val="32"/>
          <w:szCs w:val="32"/>
        </w:rPr>
        <w:t>校办字〔</w:t>
      </w:r>
      <w:r w:rsidRPr="00111380">
        <w:rPr>
          <w:rFonts w:ascii="黑体" w:eastAsia="黑体" w:hAnsi="黑体"/>
          <w:color w:val="0F0F0F"/>
          <w:sz w:val="32"/>
          <w:szCs w:val="32"/>
        </w:rPr>
        <w:t>2013</w:t>
      </w:r>
      <w:r w:rsidRPr="00111380">
        <w:rPr>
          <w:rFonts w:ascii="黑体" w:eastAsia="黑体" w:hAnsi="黑体" w:hint="eastAsia"/>
          <w:color w:val="0F0F0F"/>
          <w:sz w:val="32"/>
          <w:szCs w:val="32"/>
        </w:rPr>
        <w:t>〕</w:t>
      </w:r>
      <w:r w:rsidRPr="00111380">
        <w:rPr>
          <w:rFonts w:ascii="黑体" w:eastAsia="黑体" w:hAnsi="黑体"/>
          <w:color w:val="0F0F0F"/>
          <w:sz w:val="32"/>
          <w:szCs w:val="32"/>
        </w:rPr>
        <w:t>26</w:t>
      </w:r>
      <w:r w:rsidRPr="00111380">
        <w:rPr>
          <w:rFonts w:ascii="黑体" w:eastAsia="黑体" w:hAnsi="黑体" w:hint="eastAsia"/>
          <w:color w:val="0F0F0F"/>
          <w:sz w:val="32"/>
          <w:szCs w:val="32"/>
        </w:rPr>
        <w:t>号</w:t>
      </w:r>
      <w:r>
        <w:rPr>
          <w:rFonts w:ascii="黑体" w:eastAsia="黑体" w:hAnsi="黑体" w:hint="eastAsia"/>
          <w:color w:val="0F0F0F"/>
          <w:sz w:val="32"/>
          <w:szCs w:val="32"/>
        </w:rPr>
        <w:t>）</w:t>
      </w:r>
      <w:bookmarkEnd w:id="0"/>
    </w:p>
    <w:p w:rsidR="00F70331" w:rsidRPr="00F70331" w:rsidRDefault="00F70331" w:rsidP="00F70331">
      <w:pPr>
        <w:jc w:val="center"/>
        <w:rPr>
          <w:rFonts w:ascii="仿宋" w:eastAsia="仿宋" w:hAnsi="仿宋"/>
          <w:sz w:val="28"/>
          <w:szCs w:val="28"/>
        </w:rPr>
      </w:pPr>
      <w:r w:rsidRPr="00F70331">
        <w:rPr>
          <w:rFonts w:ascii="仿宋" w:eastAsia="仿宋" w:hAnsi="仿宋" w:hint="eastAsia"/>
          <w:sz w:val="28"/>
          <w:szCs w:val="28"/>
        </w:rPr>
        <w:t>第一章</w:t>
      </w:r>
      <w:r>
        <w:rPr>
          <w:rFonts w:ascii="仿宋" w:eastAsia="仿宋" w:hAnsi="仿宋"/>
          <w:sz w:val="28"/>
          <w:szCs w:val="28"/>
        </w:rPr>
        <w:t xml:space="preserve">  </w:t>
      </w:r>
      <w:r w:rsidRPr="00F70331">
        <w:rPr>
          <w:rFonts w:ascii="仿宋" w:eastAsia="仿宋" w:hAnsi="仿宋" w:hint="eastAsia"/>
          <w:sz w:val="28"/>
          <w:szCs w:val="28"/>
        </w:rPr>
        <w:t>总则</w:t>
      </w:r>
    </w:p>
    <w:p w:rsidR="00C007E7" w:rsidRDefault="00F70331" w:rsidP="00C007E7">
      <w:pPr>
        <w:ind w:firstLineChars="200" w:firstLine="560"/>
        <w:jc w:val="left"/>
        <w:rPr>
          <w:rFonts w:ascii="仿宋" w:eastAsia="仿宋" w:hAnsi="仿宋"/>
          <w:sz w:val="28"/>
          <w:szCs w:val="28"/>
        </w:rPr>
      </w:pPr>
      <w:r w:rsidRPr="00F70331">
        <w:rPr>
          <w:rFonts w:ascii="仿宋" w:eastAsia="仿宋" w:hAnsi="仿宋" w:hint="eastAsia"/>
          <w:sz w:val="28"/>
          <w:szCs w:val="28"/>
        </w:rPr>
        <w:t>第一条</w:t>
      </w:r>
      <w:r>
        <w:rPr>
          <w:rFonts w:ascii="仿宋" w:eastAsia="仿宋" w:hAnsi="仿宋"/>
          <w:sz w:val="28"/>
          <w:szCs w:val="28"/>
        </w:rPr>
        <w:t xml:space="preserve"> </w:t>
      </w:r>
      <w:r w:rsidRPr="00F70331">
        <w:rPr>
          <w:rFonts w:ascii="仿宋" w:eastAsia="仿宋" w:hAnsi="仿宋" w:hint="eastAsia"/>
          <w:sz w:val="28"/>
          <w:szCs w:val="28"/>
        </w:rPr>
        <w:t>依据《中华人民共和国学位条例》和《中华人民共和国学位条例暂行实施办法》，学校设立学位评定委员会，下设学位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委员会。学位评定委员会是对学生的学位授予和学位学科点建设等工作进行审批、评议和咨询的机构。</w:t>
      </w:r>
    </w:p>
    <w:p w:rsidR="00C007E7" w:rsidRDefault="00F70331" w:rsidP="00790FA4">
      <w:pPr>
        <w:jc w:val="center"/>
        <w:rPr>
          <w:rFonts w:ascii="仿宋" w:eastAsia="仿宋" w:hAnsi="仿宋"/>
          <w:sz w:val="28"/>
          <w:szCs w:val="28"/>
        </w:rPr>
      </w:pPr>
      <w:r w:rsidRPr="00F70331">
        <w:rPr>
          <w:rFonts w:ascii="仿宋" w:eastAsia="仿宋" w:hAnsi="仿宋" w:hint="eastAsia"/>
          <w:sz w:val="28"/>
          <w:szCs w:val="28"/>
        </w:rPr>
        <w:t>第二章</w:t>
      </w:r>
      <w:r w:rsidR="00C007E7">
        <w:rPr>
          <w:rFonts w:ascii="仿宋" w:eastAsia="仿宋" w:hAnsi="仿宋" w:hint="eastAsia"/>
          <w:sz w:val="28"/>
          <w:szCs w:val="28"/>
        </w:rPr>
        <w:t xml:space="preserve"> </w:t>
      </w:r>
      <w:r w:rsidR="00C007E7">
        <w:rPr>
          <w:rFonts w:ascii="仿宋" w:eastAsia="仿宋" w:hAnsi="仿宋"/>
          <w:sz w:val="28"/>
          <w:szCs w:val="28"/>
        </w:rPr>
        <w:t xml:space="preserve"> </w:t>
      </w:r>
      <w:r w:rsidRPr="00F70331">
        <w:rPr>
          <w:rFonts w:ascii="仿宋" w:eastAsia="仿宋" w:hAnsi="仿宋" w:hint="eastAsia"/>
          <w:sz w:val="28"/>
          <w:szCs w:val="28"/>
        </w:rPr>
        <w:t>组织机构</w:t>
      </w:r>
    </w:p>
    <w:p w:rsidR="00790FA4" w:rsidRDefault="00F70331" w:rsidP="00790FA4">
      <w:pPr>
        <w:ind w:firstLineChars="200" w:firstLine="560"/>
        <w:jc w:val="left"/>
        <w:rPr>
          <w:rFonts w:ascii="仿宋" w:eastAsia="仿宋" w:hAnsi="仿宋"/>
          <w:sz w:val="28"/>
          <w:szCs w:val="28"/>
        </w:rPr>
      </w:pPr>
      <w:r w:rsidRPr="00F70331">
        <w:rPr>
          <w:rFonts w:ascii="仿宋" w:eastAsia="仿宋" w:hAnsi="仿宋" w:hint="eastAsia"/>
          <w:sz w:val="28"/>
          <w:szCs w:val="28"/>
        </w:rPr>
        <w:t>第二条</w:t>
      </w:r>
      <w:r w:rsidR="00790FA4">
        <w:rPr>
          <w:rFonts w:ascii="仿宋" w:eastAsia="仿宋" w:hAnsi="仿宋"/>
          <w:sz w:val="28"/>
          <w:szCs w:val="28"/>
        </w:rPr>
        <w:t xml:space="preserve"> </w:t>
      </w:r>
      <w:r w:rsidRPr="00F70331">
        <w:rPr>
          <w:rFonts w:ascii="仿宋" w:eastAsia="仿宋" w:hAnsi="仿宋" w:hint="eastAsia"/>
          <w:sz w:val="28"/>
          <w:szCs w:val="28"/>
        </w:rPr>
        <w:t>学位评定委员会组成</w:t>
      </w:r>
    </w:p>
    <w:p w:rsidR="00790FA4" w:rsidRDefault="00F70331" w:rsidP="00790FA4">
      <w:pPr>
        <w:ind w:firstLineChars="200" w:firstLine="560"/>
        <w:jc w:val="left"/>
        <w:rPr>
          <w:rFonts w:ascii="仿宋" w:eastAsia="仿宋" w:hAnsi="仿宋"/>
          <w:sz w:val="28"/>
          <w:szCs w:val="28"/>
        </w:rPr>
      </w:pPr>
      <w:r w:rsidRPr="00F70331">
        <w:rPr>
          <w:rFonts w:ascii="仿宋" w:eastAsia="仿宋" w:hAnsi="仿宋" w:hint="eastAsia"/>
          <w:sz w:val="28"/>
          <w:szCs w:val="28"/>
        </w:rPr>
        <w:t>（一）学位评定委员会由27</w:t>
      </w:r>
      <w:r w:rsidR="00790FA4">
        <w:rPr>
          <w:rFonts w:ascii="仿宋" w:eastAsia="仿宋" w:hAnsi="仿宋" w:hint="eastAsia"/>
          <w:sz w:val="28"/>
          <w:szCs w:val="28"/>
        </w:rPr>
        <w:t>至</w:t>
      </w:r>
      <w:r w:rsidRPr="00F70331">
        <w:rPr>
          <w:rFonts w:ascii="仿宋" w:eastAsia="仿宋" w:hAnsi="仿宋" w:hint="eastAsia"/>
          <w:sz w:val="28"/>
          <w:szCs w:val="28"/>
        </w:rPr>
        <w:t>29人组成，设主席1人，副主席3</w:t>
      </w:r>
      <w:r w:rsidR="00790FA4">
        <w:rPr>
          <w:rFonts w:ascii="仿宋" w:eastAsia="仿宋" w:hAnsi="仿宋" w:hint="eastAsia"/>
          <w:sz w:val="28"/>
          <w:szCs w:val="28"/>
        </w:rPr>
        <w:t>至</w:t>
      </w:r>
      <w:r w:rsidRPr="00F70331">
        <w:rPr>
          <w:rFonts w:ascii="仿宋" w:eastAsia="仿宋" w:hAnsi="仿宋" w:hint="eastAsia"/>
          <w:sz w:val="28"/>
          <w:szCs w:val="28"/>
        </w:rPr>
        <w:t>5人。学位评定委员会委员应包括主要校领导，主管研究生与本科生教学、学生工作的校领导，研究生及本科生教学业务主管部门的负责人和专家代表。专家代表应为学术水平高、具有正高级专业技术职称的在岗教学或科研人员，一般应为博士生导师。委员年龄一般在60周岁以下。</w:t>
      </w:r>
    </w:p>
    <w:p w:rsidR="00790FA4" w:rsidRDefault="00F70331" w:rsidP="00790FA4">
      <w:pPr>
        <w:ind w:firstLineChars="200" w:firstLine="560"/>
        <w:jc w:val="left"/>
        <w:rPr>
          <w:rFonts w:ascii="仿宋" w:eastAsia="仿宋" w:hAnsi="仿宋"/>
          <w:sz w:val="28"/>
          <w:szCs w:val="28"/>
        </w:rPr>
      </w:pPr>
      <w:r w:rsidRPr="00F70331">
        <w:rPr>
          <w:rFonts w:ascii="仿宋" w:eastAsia="仿宋" w:hAnsi="仿宋" w:hint="eastAsia"/>
          <w:sz w:val="28"/>
          <w:szCs w:val="28"/>
        </w:rPr>
        <w:t>（二）委员任期3</w:t>
      </w:r>
      <w:r w:rsidR="00790FA4">
        <w:rPr>
          <w:rFonts w:ascii="仿宋" w:eastAsia="仿宋" w:hAnsi="仿宋" w:hint="eastAsia"/>
          <w:sz w:val="28"/>
          <w:szCs w:val="28"/>
        </w:rPr>
        <w:t>至</w:t>
      </w:r>
      <w:r w:rsidRPr="00F70331">
        <w:rPr>
          <w:rFonts w:ascii="仿宋" w:eastAsia="仿宋" w:hAnsi="仿宋" w:hint="eastAsia"/>
          <w:sz w:val="28"/>
          <w:szCs w:val="28"/>
        </w:rPr>
        <w:t>4年，换届时，学位评定委员会的组成人选由学位评定委员会办公室提出建议名单，最终由校长办公会审批。</w:t>
      </w:r>
    </w:p>
    <w:p w:rsidR="00854D58" w:rsidRDefault="00F70331" w:rsidP="00854D58">
      <w:pPr>
        <w:ind w:firstLineChars="200" w:firstLine="560"/>
        <w:jc w:val="left"/>
        <w:rPr>
          <w:rFonts w:ascii="仿宋" w:eastAsia="仿宋" w:hAnsi="仿宋"/>
          <w:sz w:val="28"/>
          <w:szCs w:val="28"/>
        </w:rPr>
      </w:pPr>
      <w:r w:rsidRPr="00F70331">
        <w:rPr>
          <w:rFonts w:ascii="仿宋" w:eastAsia="仿宋" w:hAnsi="仿宋" w:hint="eastAsia"/>
          <w:sz w:val="28"/>
          <w:szCs w:val="28"/>
        </w:rPr>
        <w:t>（三）委员任职期间，</w:t>
      </w:r>
      <w:r w:rsidR="00790FA4">
        <w:rPr>
          <w:rFonts w:ascii="仿宋" w:eastAsia="仿宋" w:hAnsi="仿宋" w:hint="eastAsia"/>
          <w:sz w:val="28"/>
          <w:szCs w:val="28"/>
        </w:rPr>
        <w:t>如</w:t>
      </w:r>
      <w:r w:rsidRPr="00F70331">
        <w:rPr>
          <w:rFonts w:ascii="仿宋" w:eastAsia="仿宋" w:hAnsi="仿宋" w:hint="eastAsia"/>
          <w:sz w:val="28"/>
          <w:szCs w:val="28"/>
        </w:rPr>
        <w:t>因工作调离、职务变动和出国1年以上等原因不能履行职责者</w:t>
      </w:r>
      <w:r w:rsidR="00854D58">
        <w:rPr>
          <w:rFonts w:ascii="仿宋" w:eastAsia="仿宋" w:hAnsi="仿宋" w:hint="eastAsia"/>
          <w:sz w:val="28"/>
          <w:szCs w:val="28"/>
        </w:rPr>
        <w:t>，</w:t>
      </w:r>
      <w:r w:rsidRPr="00F70331">
        <w:rPr>
          <w:rFonts w:ascii="仿宋" w:eastAsia="仿宋" w:hAnsi="仿宋" w:hint="eastAsia"/>
          <w:sz w:val="28"/>
          <w:szCs w:val="28"/>
        </w:rPr>
        <w:t>主席可根据实际情况予以解聘；如需增补，需按委员产生程序进行。</w:t>
      </w:r>
    </w:p>
    <w:p w:rsidR="00854D58" w:rsidRDefault="00F70331" w:rsidP="00854D58">
      <w:pPr>
        <w:ind w:firstLineChars="200" w:firstLine="560"/>
        <w:jc w:val="left"/>
        <w:rPr>
          <w:rFonts w:ascii="仿宋" w:eastAsia="仿宋" w:hAnsi="仿宋"/>
          <w:sz w:val="28"/>
          <w:szCs w:val="28"/>
        </w:rPr>
      </w:pPr>
      <w:r w:rsidRPr="00F70331">
        <w:rPr>
          <w:rFonts w:ascii="仿宋" w:eastAsia="仿宋" w:hAnsi="仿宋" w:hint="eastAsia"/>
          <w:sz w:val="28"/>
          <w:szCs w:val="28"/>
        </w:rPr>
        <w:t>第</w:t>
      </w:r>
      <w:r w:rsidR="00854D58">
        <w:rPr>
          <w:rFonts w:ascii="仿宋" w:eastAsia="仿宋" w:hAnsi="仿宋" w:hint="eastAsia"/>
          <w:sz w:val="28"/>
          <w:szCs w:val="28"/>
        </w:rPr>
        <w:t>三</w:t>
      </w:r>
      <w:r w:rsidRPr="00F70331">
        <w:rPr>
          <w:rFonts w:ascii="仿宋" w:eastAsia="仿宋" w:hAnsi="仿宋" w:hint="eastAsia"/>
          <w:sz w:val="28"/>
          <w:szCs w:val="28"/>
        </w:rPr>
        <w:t>条</w:t>
      </w:r>
      <w:r w:rsidR="00854D58">
        <w:rPr>
          <w:rFonts w:ascii="仿宋" w:eastAsia="仿宋" w:hAnsi="仿宋" w:hint="eastAsia"/>
          <w:sz w:val="28"/>
          <w:szCs w:val="28"/>
        </w:rPr>
        <w:t xml:space="preserve"> </w:t>
      </w:r>
      <w:r w:rsidRPr="00F70331">
        <w:rPr>
          <w:rFonts w:ascii="仿宋" w:eastAsia="仿宋" w:hAnsi="仿宋" w:hint="eastAsia"/>
          <w:sz w:val="28"/>
          <w:szCs w:val="28"/>
        </w:rPr>
        <w:t>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委员会组成</w:t>
      </w:r>
    </w:p>
    <w:p w:rsidR="00BA0E92" w:rsidRDefault="00F70331" w:rsidP="00BA0E92">
      <w:pPr>
        <w:ind w:firstLineChars="200" w:firstLine="560"/>
        <w:jc w:val="left"/>
        <w:rPr>
          <w:rFonts w:ascii="仿宋" w:eastAsia="仿宋" w:hAnsi="仿宋"/>
          <w:sz w:val="28"/>
          <w:szCs w:val="28"/>
        </w:rPr>
      </w:pPr>
      <w:r w:rsidRPr="00F70331">
        <w:rPr>
          <w:rFonts w:ascii="仿宋" w:eastAsia="仿宋" w:hAnsi="仿宋" w:hint="eastAsia"/>
          <w:sz w:val="28"/>
          <w:szCs w:val="28"/>
        </w:rPr>
        <w:t>（一）学位评定委员会下按院（系）或相近的学科设立学位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委员会。分委员会设主任1人，副主任2</w:t>
      </w:r>
      <w:r w:rsidR="00854D58">
        <w:rPr>
          <w:rFonts w:ascii="仿宋" w:eastAsia="仿宋" w:hAnsi="仿宋" w:hint="eastAsia"/>
          <w:sz w:val="28"/>
          <w:szCs w:val="28"/>
        </w:rPr>
        <w:t>至</w:t>
      </w:r>
      <w:r w:rsidRPr="00F70331">
        <w:rPr>
          <w:rFonts w:ascii="仿宋" w:eastAsia="仿宋" w:hAnsi="仿宋" w:hint="eastAsia"/>
          <w:sz w:val="28"/>
          <w:szCs w:val="28"/>
        </w:rPr>
        <w:t>4人，委员若干人。分委员会主任由学位评定委员会委员担任，分会委员由教授、副教授</w:t>
      </w:r>
      <w:r w:rsidR="00BA0E92">
        <w:rPr>
          <w:rFonts w:ascii="仿宋" w:eastAsia="仿宋" w:hAnsi="仿宋" w:hint="eastAsia"/>
          <w:sz w:val="28"/>
          <w:szCs w:val="28"/>
        </w:rPr>
        <w:t>或</w:t>
      </w:r>
      <w:r w:rsidRPr="00F70331">
        <w:rPr>
          <w:rFonts w:ascii="仿宋" w:eastAsia="仿宋" w:hAnsi="仿宋" w:hint="eastAsia"/>
          <w:sz w:val="28"/>
          <w:szCs w:val="28"/>
        </w:rPr>
        <w:t>相当职称的人员组成，其中应包括院（系）主要负责人</w:t>
      </w:r>
      <w:r w:rsidR="00BA0E92">
        <w:rPr>
          <w:rFonts w:ascii="仿宋" w:eastAsia="仿宋" w:hAnsi="仿宋" w:hint="eastAsia"/>
          <w:sz w:val="28"/>
          <w:szCs w:val="28"/>
        </w:rPr>
        <w:t>，</w:t>
      </w:r>
      <w:r w:rsidRPr="00F70331">
        <w:rPr>
          <w:rFonts w:ascii="仿宋" w:eastAsia="仿宋" w:hAnsi="仿宋" w:hint="eastAsia"/>
          <w:sz w:val="28"/>
          <w:szCs w:val="28"/>
        </w:rPr>
        <w:t>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委员会应配备1名副教授以上职称的教师任秘书，负责学位</w:t>
      </w:r>
      <w:proofErr w:type="gramStart"/>
      <w:r w:rsidRPr="00F70331">
        <w:rPr>
          <w:rFonts w:ascii="仿宋" w:eastAsia="仿宋" w:hAnsi="仿宋" w:hint="eastAsia"/>
          <w:sz w:val="28"/>
          <w:szCs w:val="28"/>
        </w:rPr>
        <w:t>评定</w:t>
      </w:r>
      <w:proofErr w:type="gramEnd"/>
      <w:r w:rsidRPr="00F70331">
        <w:rPr>
          <w:rFonts w:ascii="仿宋" w:eastAsia="仿宋" w:hAnsi="仿宋" w:hint="eastAsia"/>
          <w:sz w:val="28"/>
          <w:szCs w:val="28"/>
        </w:rPr>
        <w:t>分委员会的日常工作。</w:t>
      </w:r>
    </w:p>
    <w:p w:rsidR="00BA0E92" w:rsidRDefault="00F70331" w:rsidP="00BA0E92">
      <w:pPr>
        <w:ind w:firstLineChars="200" w:firstLine="560"/>
        <w:jc w:val="left"/>
        <w:rPr>
          <w:rFonts w:ascii="仿宋" w:eastAsia="仿宋" w:hAnsi="仿宋"/>
          <w:sz w:val="28"/>
          <w:szCs w:val="28"/>
        </w:rPr>
      </w:pPr>
      <w:r w:rsidRPr="00F70331">
        <w:rPr>
          <w:rFonts w:ascii="仿宋" w:eastAsia="仿宋" w:hAnsi="仿宋" w:hint="eastAsia"/>
          <w:sz w:val="28"/>
          <w:szCs w:val="28"/>
        </w:rPr>
        <w:t>（二）学位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委员会的组成人选由学位评定委员会办公室与相关院（系）协商后提出建议名单</w:t>
      </w:r>
      <w:r w:rsidR="00BA0E92">
        <w:rPr>
          <w:rFonts w:ascii="仿宋" w:eastAsia="仿宋" w:hAnsi="仿宋" w:hint="eastAsia"/>
          <w:sz w:val="28"/>
          <w:szCs w:val="28"/>
        </w:rPr>
        <w:t>，</w:t>
      </w:r>
      <w:r w:rsidRPr="00F70331">
        <w:rPr>
          <w:rFonts w:ascii="仿宋" w:eastAsia="仿宋" w:hAnsi="仿宋" w:hint="eastAsia"/>
          <w:sz w:val="28"/>
          <w:szCs w:val="28"/>
        </w:rPr>
        <w:t>报学位评定委员会审批。</w:t>
      </w:r>
    </w:p>
    <w:p w:rsidR="00BA0E92" w:rsidRDefault="00F70331" w:rsidP="00BA0E92">
      <w:pPr>
        <w:ind w:firstLineChars="200" w:firstLine="560"/>
        <w:jc w:val="left"/>
        <w:rPr>
          <w:rFonts w:ascii="仿宋" w:eastAsia="仿宋" w:hAnsi="仿宋"/>
          <w:sz w:val="28"/>
          <w:szCs w:val="28"/>
        </w:rPr>
      </w:pPr>
      <w:r w:rsidRPr="00F70331">
        <w:rPr>
          <w:rFonts w:ascii="仿宋" w:eastAsia="仿宋" w:hAnsi="仿宋" w:hint="eastAsia"/>
          <w:sz w:val="28"/>
          <w:szCs w:val="28"/>
        </w:rPr>
        <w:lastRenderedPageBreak/>
        <w:t>（三）学位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委员会委员，如因工作调离、职务</w:t>
      </w:r>
      <w:r w:rsidR="00BA0E92">
        <w:rPr>
          <w:rFonts w:ascii="仿宋" w:eastAsia="仿宋" w:hAnsi="仿宋" w:hint="eastAsia"/>
          <w:sz w:val="28"/>
          <w:szCs w:val="28"/>
        </w:rPr>
        <w:t>变</w:t>
      </w:r>
      <w:r w:rsidRPr="00F70331">
        <w:rPr>
          <w:rFonts w:ascii="仿宋" w:eastAsia="仿宋" w:hAnsi="仿宋" w:hint="eastAsia"/>
          <w:sz w:val="28"/>
          <w:szCs w:val="28"/>
        </w:rPr>
        <w:t>动</w:t>
      </w:r>
      <w:r w:rsidR="00BA0E92">
        <w:rPr>
          <w:rFonts w:ascii="仿宋" w:eastAsia="仿宋" w:hAnsi="仿宋" w:hint="eastAsia"/>
          <w:sz w:val="28"/>
          <w:szCs w:val="28"/>
        </w:rPr>
        <w:t>或</w:t>
      </w:r>
      <w:r w:rsidRPr="00F70331">
        <w:rPr>
          <w:rFonts w:ascii="仿宋" w:eastAsia="仿宋" w:hAnsi="仿宋" w:hint="eastAsia"/>
          <w:sz w:val="28"/>
          <w:szCs w:val="28"/>
        </w:rPr>
        <w:t>出国1年以上等原因不能履行职责者</w:t>
      </w:r>
      <w:r w:rsidR="00BA0E92">
        <w:rPr>
          <w:rFonts w:ascii="仿宋" w:eastAsia="仿宋" w:hAnsi="仿宋" w:hint="eastAsia"/>
          <w:sz w:val="28"/>
          <w:szCs w:val="28"/>
        </w:rPr>
        <w:t>，</w:t>
      </w:r>
      <w:r w:rsidRPr="00F70331">
        <w:rPr>
          <w:rFonts w:ascii="仿宋" w:eastAsia="仿宋" w:hAnsi="仿宋" w:hint="eastAsia"/>
          <w:sz w:val="28"/>
          <w:szCs w:val="28"/>
        </w:rPr>
        <w:t>分委员会须及时上报学位评定委员会，学位评定委员会主席可根据实际情况予以解聘；如需增补，需按委员产生程序进行。</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第四条</w:t>
      </w:r>
      <w:r w:rsidR="00BA0E92">
        <w:rPr>
          <w:rFonts w:ascii="仿宋" w:eastAsia="仿宋" w:hAnsi="仿宋" w:hint="eastAsia"/>
          <w:sz w:val="28"/>
          <w:szCs w:val="28"/>
        </w:rPr>
        <w:t xml:space="preserve"> </w:t>
      </w:r>
      <w:r w:rsidRPr="00F70331">
        <w:rPr>
          <w:rFonts w:ascii="仿宋" w:eastAsia="仿宋" w:hAnsi="仿宋" w:hint="eastAsia"/>
          <w:sz w:val="28"/>
          <w:szCs w:val="28"/>
        </w:rPr>
        <w:t>学位评定委员会办公室为学校常设机构，休会期间处理学位评定委员会委托的各项工作。</w:t>
      </w:r>
    </w:p>
    <w:p w:rsidR="00886803" w:rsidRDefault="00F70331" w:rsidP="00886803">
      <w:pPr>
        <w:jc w:val="center"/>
        <w:rPr>
          <w:rFonts w:ascii="仿宋" w:eastAsia="仿宋" w:hAnsi="仿宋"/>
          <w:sz w:val="28"/>
          <w:szCs w:val="28"/>
        </w:rPr>
      </w:pPr>
      <w:r w:rsidRPr="00F70331">
        <w:rPr>
          <w:rFonts w:ascii="仿宋" w:eastAsia="仿宋" w:hAnsi="仿宋" w:hint="eastAsia"/>
          <w:sz w:val="28"/>
          <w:szCs w:val="28"/>
        </w:rPr>
        <w:t>第三章</w:t>
      </w:r>
      <w:r w:rsidR="00886803">
        <w:rPr>
          <w:rFonts w:ascii="仿宋" w:eastAsia="仿宋" w:hAnsi="仿宋" w:hint="eastAsia"/>
          <w:sz w:val="28"/>
          <w:szCs w:val="28"/>
        </w:rPr>
        <w:t xml:space="preserve"> </w:t>
      </w:r>
      <w:r w:rsidR="00886803">
        <w:rPr>
          <w:rFonts w:ascii="仿宋" w:eastAsia="仿宋" w:hAnsi="仿宋"/>
          <w:sz w:val="28"/>
          <w:szCs w:val="28"/>
        </w:rPr>
        <w:t xml:space="preserve"> </w:t>
      </w:r>
      <w:r w:rsidRPr="00F70331">
        <w:rPr>
          <w:rFonts w:ascii="仿宋" w:eastAsia="仿宋" w:hAnsi="仿宋" w:hint="eastAsia"/>
          <w:sz w:val="28"/>
          <w:szCs w:val="28"/>
        </w:rPr>
        <w:t>职责</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第五条</w:t>
      </w:r>
      <w:r w:rsidR="00886803">
        <w:rPr>
          <w:rFonts w:ascii="仿宋" w:eastAsia="仿宋" w:hAnsi="仿宋"/>
          <w:sz w:val="28"/>
          <w:szCs w:val="28"/>
        </w:rPr>
        <w:t xml:space="preserve"> </w:t>
      </w:r>
      <w:r w:rsidRPr="00F70331">
        <w:rPr>
          <w:rFonts w:ascii="仿宋" w:eastAsia="仿宋" w:hAnsi="仿宋" w:hint="eastAsia"/>
          <w:sz w:val="28"/>
          <w:szCs w:val="28"/>
        </w:rPr>
        <w:t>学位评定委员会的职责</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（一）审批全校有关学位工作的规章制度；</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（二）对申请硕士学位人员进行审核，</w:t>
      </w:r>
      <w:proofErr w:type="gramStart"/>
      <w:r w:rsidRPr="00F70331">
        <w:rPr>
          <w:rFonts w:ascii="仿宋" w:eastAsia="仿宋" w:hAnsi="仿宋" w:hint="eastAsia"/>
          <w:sz w:val="28"/>
          <w:szCs w:val="28"/>
        </w:rPr>
        <w:t>作出</w:t>
      </w:r>
      <w:proofErr w:type="gramEnd"/>
      <w:r w:rsidRPr="00F70331">
        <w:rPr>
          <w:rFonts w:ascii="仿宋" w:eastAsia="仿宋" w:hAnsi="仿宋" w:hint="eastAsia"/>
          <w:sz w:val="28"/>
          <w:szCs w:val="28"/>
        </w:rPr>
        <w:t>授予硕士学位的决定；</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（三）对申请博士学位人员进行审核</w:t>
      </w:r>
      <w:r w:rsidR="00886803">
        <w:rPr>
          <w:rFonts w:ascii="仿宋" w:eastAsia="仿宋" w:hAnsi="仿宋" w:hint="eastAsia"/>
          <w:sz w:val="28"/>
          <w:szCs w:val="28"/>
        </w:rPr>
        <w:t>，</w:t>
      </w:r>
      <w:proofErr w:type="gramStart"/>
      <w:r w:rsidRPr="00F70331">
        <w:rPr>
          <w:rFonts w:ascii="仿宋" w:eastAsia="仿宋" w:hAnsi="仿宋" w:hint="eastAsia"/>
          <w:sz w:val="28"/>
          <w:szCs w:val="28"/>
        </w:rPr>
        <w:t>作出</w:t>
      </w:r>
      <w:proofErr w:type="gramEnd"/>
      <w:r w:rsidRPr="00F70331">
        <w:rPr>
          <w:rFonts w:ascii="仿宋" w:eastAsia="仿宋" w:hAnsi="仿宋" w:hint="eastAsia"/>
          <w:sz w:val="28"/>
          <w:szCs w:val="28"/>
        </w:rPr>
        <w:t>授予博士学位的决定；</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（四）通过授予名誉博士学位的提名，经国务院学位委员会批准，</w:t>
      </w:r>
      <w:proofErr w:type="gramStart"/>
      <w:r w:rsidRPr="00F70331">
        <w:rPr>
          <w:rFonts w:ascii="仿宋" w:eastAsia="仿宋" w:hAnsi="仿宋" w:hint="eastAsia"/>
          <w:sz w:val="28"/>
          <w:szCs w:val="28"/>
        </w:rPr>
        <w:t>作出</w:t>
      </w:r>
      <w:proofErr w:type="gramEnd"/>
      <w:r w:rsidRPr="00F70331">
        <w:rPr>
          <w:rFonts w:ascii="仿宋" w:eastAsia="仿宋" w:hAnsi="仿宋" w:hint="eastAsia"/>
          <w:sz w:val="28"/>
          <w:szCs w:val="28"/>
        </w:rPr>
        <w:t>授予名誉博士学位的决定；</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（五）制定学位授予及研究生指导教师任职的有关规定；</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（六）审定硕士研究生指导教师和博士研究生指导教师名单；</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（七）核准学位授予名单，检查、评估学位授予质量；</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（八）受理与学位工作有关的其他问题。</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第六条</w:t>
      </w:r>
      <w:r w:rsidR="00886803">
        <w:rPr>
          <w:rFonts w:ascii="仿宋" w:eastAsia="仿宋" w:hAnsi="仿宋" w:hint="eastAsia"/>
          <w:sz w:val="28"/>
          <w:szCs w:val="28"/>
        </w:rPr>
        <w:t xml:space="preserve"> </w:t>
      </w:r>
      <w:r w:rsidRPr="00F70331">
        <w:rPr>
          <w:rFonts w:ascii="仿宋" w:eastAsia="仿宋" w:hAnsi="仿宋" w:hint="eastAsia"/>
          <w:sz w:val="28"/>
          <w:szCs w:val="28"/>
        </w:rPr>
        <w:t>学位</w:t>
      </w:r>
      <w:proofErr w:type="gramStart"/>
      <w:r w:rsidRPr="00F70331">
        <w:rPr>
          <w:rFonts w:ascii="仿宋" w:eastAsia="仿宋" w:hAnsi="仿宋" w:hint="eastAsia"/>
          <w:sz w:val="28"/>
          <w:szCs w:val="28"/>
        </w:rPr>
        <w:t>评定分</w:t>
      </w:r>
      <w:proofErr w:type="gramEnd"/>
      <w:r w:rsidRPr="00F70331">
        <w:rPr>
          <w:rFonts w:ascii="仿宋" w:eastAsia="仿宋" w:hAnsi="仿宋" w:hint="eastAsia"/>
          <w:sz w:val="28"/>
          <w:szCs w:val="28"/>
        </w:rPr>
        <w:t>委员会的职责</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（一）学位授予学科专业的初审、上报和评估；</w:t>
      </w:r>
    </w:p>
    <w:p w:rsidR="00886803" w:rsidRDefault="00F70331" w:rsidP="00886803">
      <w:pPr>
        <w:ind w:firstLineChars="200" w:firstLine="560"/>
        <w:jc w:val="left"/>
        <w:rPr>
          <w:rFonts w:ascii="仿宋" w:eastAsia="仿宋" w:hAnsi="仿宋"/>
          <w:sz w:val="28"/>
          <w:szCs w:val="28"/>
        </w:rPr>
      </w:pPr>
      <w:r w:rsidRPr="00F70331">
        <w:rPr>
          <w:rFonts w:ascii="仿宋" w:eastAsia="仿宋" w:hAnsi="仿宋" w:hint="eastAsia"/>
          <w:sz w:val="28"/>
          <w:szCs w:val="28"/>
        </w:rPr>
        <w:t>（二）审查硕士研究生指导教师名单和初审博士研究生指导教师名单；</w:t>
      </w:r>
    </w:p>
    <w:p w:rsidR="00795A16" w:rsidRDefault="00F70331" w:rsidP="00795A16">
      <w:pPr>
        <w:ind w:firstLineChars="200" w:firstLine="560"/>
        <w:jc w:val="left"/>
        <w:rPr>
          <w:rFonts w:ascii="仿宋" w:eastAsia="仿宋" w:hAnsi="仿宋"/>
          <w:sz w:val="28"/>
          <w:szCs w:val="28"/>
        </w:rPr>
      </w:pPr>
      <w:r w:rsidRPr="00F70331">
        <w:rPr>
          <w:rFonts w:ascii="仿宋" w:eastAsia="仿宋" w:hAnsi="仿宋" w:hint="eastAsia"/>
          <w:sz w:val="28"/>
          <w:szCs w:val="28"/>
        </w:rPr>
        <w:t>（三）批准学士学位获得者名单；</w:t>
      </w:r>
    </w:p>
    <w:p w:rsidR="00795A16" w:rsidRDefault="00F70331" w:rsidP="00795A16">
      <w:pPr>
        <w:ind w:firstLineChars="200" w:firstLine="560"/>
        <w:jc w:val="left"/>
        <w:rPr>
          <w:rFonts w:ascii="仿宋" w:eastAsia="仿宋" w:hAnsi="仿宋"/>
          <w:sz w:val="28"/>
          <w:szCs w:val="28"/>
        </w:rPr>
      </w:pPr>
      <w:r w:rsidRPr="00F70331">
        <w:rPr>
          <w:rFonts w:ascii="仿宋" w:eastAsia="仿宋" w:hAnsi="仿宋" w:hint="eastAsia"/>
          <w:sz w:val="28"/>
          <w:szCs w:val="28"/>
        </w:rPr>
        <w:t>（四）受理本学科有关的学位授予问题；</w:t>
      </w:r>
    </w:p>
    <w:p w:rsidR="00F70331" w:rsidRPr="00F70331" w:rsidRDefault="00F70331" w:rsidP="00795A16">
      <w:pPr>
        <w:ind w:firstLineChars="200" w:firstLine="560"/>
        <w:jc w:val="left"/>
        <w:rPr>
          <w:rFonts w:ascii="仿宋" w:eastAsia="仿宋" w:hAnsi="仿宋"/>
          <w:sz w:val="28"/>
          <w:szCs w:val="28"/>
        </w:rPr>
      </w:pPr>
      <w:r w:rsidRPr="00F70331">
        <w:rPr>
          <w:rFonts w:ascii="仿宋" w:eastAsia="仿宋" w:hAnsi="仿宋" w:hint="eastAsia"/>
          <w:sz w:val="28"/>
          <w:szCs w:val="28"/>
        </w:rPr>
        <w:t>（五）完成学位评定委员会的其他任务。</w:t>
      </w:r>
    </w:p>
    <w:p w:rsidR="00F70331" w:rsidRPr="00F70331" w:rsidRDefault="00F70331" w:rsidP="00795A16">
      <w:pPr>
        <w:jc w:val="center"/>
        <w:rPr>
          <w:rFonts w:ascii="仿宋" w:eastAsia="仿宋" w:hAnsi="仿宋"/>
          <w:sz w:val="28"/>
          <w:szCs w:val="28"/>
        </w:rPr>
      </w:pPr>
      <w:r w:rsidRPr="00F70331">
        <w:rPr>
          <w:rFonts w:ascii="仿宋" w:eastAsia="仿宋" w:hAnsi="仿宋" w:hint="eastAsia"/>
          <w:sz w:val="28"/>
          <w:szCs w:val="28"/>
        </w:rPr>
        <w:t>第四章附则</w:t>
      </w:r>
    </w:p>
    <w:p w:rsidR="00795A16" w:rsidRDefault="00F70331" w:rsidP="00795A16">
      <w:pPr>
        <w:ind w:firstLineChars="200" w:firstLine="560"/>
        <w:jc w:val="left"/>
        <w:rPr>
          <w:rFonts w:ascii="仿宋" w:eastAsia="仿宋" w:hAnsi="仿宋"/>
          <w:sz w:val="28"/>
          <w:szCs w:val="28"/>
        </w:rPr>
      </w:pPr>
      <w:r w:rsidRPr="00F70331">
        <w:rPr>
          <w:rFonts w:ascii="仿宋" w:eastAsia="仿宋" w:hAnsi="仿宋" w:hint="eastAsia"/>
          <w:sz w:val="28"/>
          <w:szCs w:val="28"/>
        </w:rPr>
        <w:t>第七条</w:t>
      </w:r>
      <w:r w:rsidR="00795A16">
        <w:rPr>
          <w:rFonts w:ascii="仿宋" w:eastAsia="仿宋" w:hAnsi="仿宋"/>
          <w:sz w:val="28"/>
          <w:szCs w:val="28"/>
        </w:rPr>
        <w:t xml:space="preserve"> </w:t>
      </w:r>
      <w:r w:rsidRPr="00F70331">
        <w:rPr>
          <w:rFonts w:ascii="仿宋" w:eastAsia="仿宋" w:hAnsi="仿宋" w:hint="eastAsia"/>
          <w:sz w:val="28"/>
          <w:szCs w:val="28"/>
        </w:rPr>
        <w:t>学位评定委员会原则上每年举行2</w:t>
      </w:r>
      <w:r w:rsidR="00795A16">
        <w:rPr>
          <w:rFonts w:ascii="仿宋" w:eastAsia="仿宋" w:hAnsi="仿宋" w:hint="eastAsia"/>
          <w:sz w:val="28"/>
          <w:szCs w:val="28"/>
        </w:rPr>
        <w:t>至</w:t>
      </w:r>
      <w:r w:rsidRPr="00F70331">
        <w:rPr>
          <w:rFonts w:ascii="仿宋" w:eastAsia="仿宋" w:hAnsi="仿宋" w:hint="eastAsia"/>
          <w:sz w:val="28"/>
          <w:szCs w:val="28"/>
        </w:rPr>
        <w:t>4次全体工作会议</w:t>
      </w:r>
      <w:r w:rsidR="00795A16">
        <w:rPr>
          <w:rFonts w:ascii="仿宋" w:eastAsia="仿宋" w:hAnsi="仿宋" w:hint="eastAsia"/>
          <w:sz w:val="28"/>
          <w:szCs w:val="28"/>
        </w:rPr>
        <w:t>，</w:t>
      </w:r>
      <w:r w:rsidRPr="00F70331">
        <w:rPr>
          <w:rFonts w:ascii="仿宋" w:eastAsia="仿宋" w:hAnsi="仿宋" w:hint="eastAsia"/>
          <w:sz w:val="28"/>
          <w:szCs w:val="28"/>
        </w:rPr>
        <w:t>其中包括每年6月、12月校学位审核会议。若有其他与学位工作相关的重要议题，由学位评定委员会主席或委托副主席召开全体委员会议。</w:t>
      </w:r>
    </w:p>
    <w:p w:rsidR="00795A16" w:rsidRDefault="00F70331" w:rsidP="00795A16">
      <w:pPr>
        <w:ind w:firstLineChars="200" w:firstLine="560"/>
        <w:jc w:val="left"/>
        <w:rPr>
          <w:rFonts w:ascii="仿宋" w:eastAsia="仿宋" w:hAnsi="仿宋"/>
          <w:sz w:val="28"/>
          <w:szCs w:val="28"/>
        </w:rPr>
      </w:pPr>
      <w:r w:rsidRPr="00F70331">
        <w:rPr>
          <w:rFonts w:ascii="仿宋" w:eastAsia="仿宋" w:hAnsi="仿宋" w:hint="eastAsia"/>
          <w:sz w:val="28"/>
          <w:szCs w:val="28"/>
        </w:rPr>
        <w:lastRenderedPageBreak/>
        <w:t>第八条</w:t>
      </w:r>
      <w:r w:rsidR="00795A16">
        <w:rPr>
          <w:rFonts w:ascii="仿宋" w:eastAsia="仿宋" w:hAnsi="仿宋" w:hint="eastAsia"/>
          <w:sz w:val="28"/>
          <w:szCs w:val="28"/>
        </w:rPr>
        <w:t xml:space="preserve"> </w:t>
      </w:r>
      <w:r w:rsidRPr="00F70331">
        <w:rPr>
          <w:rFonts w:ascii="仿宋" w:eastAsia="仿宋" w:hAnsi="仿宋" w:hint="eastAsia"/>
          <w:sz w:val="28"/>
          <w:szCs w:val="28"/>
        </w:rPr>
        <w:t>学位评定委员会召开会议</w:t>
      </w:r>
      <w:r w:rsidR="00795A16">
        <w:rPr>
          <w:rFonts w:ascii="仿宋" w:eastAsia="仿宋" w:hAnsi="仿宋" w:hint="eastAsia"/>
          <w:sz w:val="28"/>
          <w:szCs w:val="28"/>
        </w:rPr>
        <w:t>，</w:t>
      </w:r>
      <w:r w:rsidRPr="00F70331">
        <w:rPr>
          <w:rFonts w:ascii="仿宋" w:eastAsia="仿宋" w:hAnsi="仿宋" w:hint="eastAsia"/>
          <w:sz w:val="28"/>
          <w:szCs w:val="28"/>
        </w:rPr>
        <w:t>出席会议并参加表决的委员人数</w:t>
      </w:r>
      <w:r w:rsidR="00795A16">
        <w:rPr>
          <w:rFonts w:ascii="仿宋" w:eastAsia="仿宋" w:hAnsi="仿宋" w:hint="eastAsia"/>
          <w:sz w:val="28"/>
          <w:szCs w:val="28"/>
        </w:rPr>
        <w:t>，</w:t>
      </w:r>
      <w:r w:rsidRPr="00F70331">
        <w:rPr>
          <w:rFonts w:ascii="仿宋" w:eastAsia="仿宋" w:hAnsi="仿宋" w:hint="eastAsia"/>
          <w:sz w:val="28"/>
          <w:szCs w:val="28"/>
        </w:rPr>
        <w:t>应超过应到人数的2/3。批准授予学位的决定应经学位评定委员会委员总人数的2/3以上通过方为有效。</w:t>
      </w:r>
    </w:p>
    <w:p w:rsidR="008F53BB" w:rsidRDefault="00F70331" w:rsidP="008F53BB">
      <w:pPr>
        <w:ind w:firstLineChars="200" w:firstLine="560"/>
        <w:jc w:val="left"/>
        <w:rPr>
          <w:rFonts w:ascii="仿宋" w:eastAsia="仿宋" w:hAnsi="仿宋"/>
          <w:sz w:val="28"/>
          <w:szCs w:val="28"/>
        </w:rPr>
      </w:pPr>
      <w:r w:rsidRPr="00F70331">
        <w:rPr>
          <w:rFonts w:ascii="仿宋" w:eastAsia="仿宋" w:hAnsi="仿宋" w:hint="eastAsia"/>
          <w:sz w:val="28"/>
          <w:szCs w:val="28"/>
        </w:rPr>
        <w:t>第九条</w:t>
      </w:r>
      <w:r w:rsidR="00795A16">
        <w:rPr>
          <w:rFonts w:ascii="仿宋" w:eastAsia="仿宋" w:hAnsi="仿宋"/>
          <w:sz w:val="28"/>
          <w:szCs w:val="28"/>
        </w:rPr>
        <w:t xml:space="preserve"> </w:t>
      </w:r>
      <w:r w:rsidRPr="00F70331">
        <w:rPr>
          <w:rFonts w:ascii="仿宋" w:eastAsia="仿宋" w:hAnsi="仿宋" w:hint="eastAsia"/>
          <w:sz w:val="28"/>
          <w:szCs w:val="28"/>
        </w:rPr>
        <w:t>本章程未尽事宜提交学位评定委员会讨论</w:t>
      </w:r>
      <w:r w:rsidR="00795A16">
        <w:rPr>
          <w:rFonts w:ascii="仿宋" w:eastAsia="仿宋" w:hAnsi="仿宋" w:hint="eastAsia"/>
          <w:sz w:val="28"/>
          <w:szCs w:val="28"/>
        </w:rPr>
        <w:t>，</w:t>
      </w:r>
      <w:r w:rsidRPr="00F70331">
        <w:rPr>
          <w:rFonts w:ascii="仿宋" w:eastAsia="仿宋" w:hAnsi="仿宋" w:hint="eastAsia"/>
          <w:sz w:val="28"/>
          <w:szCs w:val="28"/>
        </w:rPr>
        <w:t>并按照学位评定委员会的相应决议处理。</w:t>
      </w:r>
    </w:p>
    <w:p w:rsidR="00F70331" w:rsidRDefault="00F70331" w:rsidP="008F53BB">
      <w:pPr>
        <w:ind w:firstLineChars="200" w:firstLine="560"/>
        <w:jc w:val="left"/>
        <w:rPr>
          <w:rFonts w:ascii="仿宋" w:eastAsia="仿宋" w:hAnsi="仿宋"/>
          <w:sz w:val="28"/>
          <w:szCs w:val="28"/>
        </w:rPr>
      </w:pPr>
      <w:r w:rsidRPr="00F70331">
        <w:rPr>
          <w:rFonts w:ascii="仿宋" w:eastAsia="仿宋" w:hAnsi="仿宋" w:hint="eastAsia"/>
          <w:sz w:val="28"/>
          <w:szCs w:val="28"/>
        </w:rPr>
        <w:t>第十条</w:t>
      </w:r>
      <w:r w:rsidR="008F53BB">
        <w:rPr>
          <w:rFonts w:ascii="仿宋" w:eastAsia="仿宋" w:hAnsi="仿宋"/>
          <w:sz w:val="28"/>
          <w:szCs w:val="28"/>
        </w:rPr>
        <w:t xml:space="preserve"> </w:t>
      </w:r>
      <w:r w:rsidRPr="00F70331">
        <w:rPr>
          <w:rFonts w:ascii="仿宋" w:eastAsia="仿宋" w:hAnsi="仿宋" w:hint="eastAsia"/>
          <w:sz w:val="28"/>
          <w:szCs w:val="28"/>
        </w:rPr>
        <w:t>本章程自印发之日起执行。</w:t>
      </w:r>
    </w:p>
    <w:sectPr w:rsidR="00F70331" w:rsidSect="005562AD">
      <w:pgSz w:w="12220" w:h="17120"/>
      <w:pgMar w:top="1134" w:right="1134" w:bottom="1134" w:left="1134"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6D" w:rsidRDefault="00521D6D" w:rsidP="001C4CD1">
      <w:r>
        <w:separator/>
      </w:r>
    </w:p>
  </w:endnote>
  <w:endnote w:type="continuationSeparator" w:id="0">
    <w:p w:rsidR="00521D6D" w:rsidRDefault="00521D6D" w:rsidP="001C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6D" w:rsidRDefault="00521D6D" w:rsidP="001C4CD1">
      <w:r>
        <w:separator/>
      </w:r>
    </w:p>
  </w:footnote>
  <w:footnote w:type="continuationSeparator" w:id="0">
    <w:p w:rsidR="00521D6D" w:rsidRDefault="00521D6D" w:rsidP="001C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3A3"/>
    <w:multiLevelType w:val="multilevel"/>
    <w:tmpl w:val="207B43A3"/>
    <w:lvl w:ilvl="0">
      <w:start w:val="3"/>
      <w:numFmt w:val="japaneseCounting"/>
      <w:lvlText w:val="第%1章"/>
      <w:lvlJc w:val="left"/>
      <w:pPr>
        <w:tabs>
          <w:tab w:val="num" w:pos="840"/>
        </w:tabs>
        <w:ind w:left="840" w:hanging="840"/>
      </w:pPr>
      <w:rPr>
        <w:rFonts w:hint="eastAsia"/>
      </w:rPr>
    </w:lvl>
    <w:lvl w:ilvl="1">
      <w:start w:val="1"/>
      <w:numFmt w:val="japaneseCounting"/>
      <w:lvlText w:val="%2、"/>
      <w:lvlJc w:val="left"/>
      <w:pPr>
        <w:tabs>
          <w:tab w:val="num" w:pos="1455"/>
        </w:tabs>
        <w:ind w:left="1455" w:hanging="1035"/>
      </w:pPr>
      <w:rPr>
        <w:rFonts w:hint="eastAsia"/>
      </w:rPr>
    </w:lvl>
    <w:lvl w:ilvl="2">
      <w:start w:val="1"/>
      <w:numFmt w:val="japaneseCounting"/>
      <w:lvlText w:val="第%3条"/>
      <w:lvlJc w:val="left"/>
      <w:pPr>
        <w:tabs>
          <w:tab w:val="num" w:pos="1560"/>
        </w:tabs>
        <w:ind w:left="1560" w:hanging="720"/>
      </w:pPr>
      <w:rPr>
        <w:rFonts w:hint="eastAsia"/>
      </w:rPr>
    </w:lvl>
    <w:lvl w:ilvl="3">
      <w:start w:val="3"/>
      <w:numFmt w:val="decimal"/>
      <w:lvlText w:val="（%4）"/>
      <w:lvlJc w:val="left"/>
      <w:pPr>
        <w:tabs>
          <w:tab w:val="num" w:pos="1980"/>
        </w:tabs>
        <w:ind w:left="1980" w:hanging="720"/>
      </w:pPr>
      <w:rPr>
        <w:rFonts w:hint="eastAsia"/>
        <w:b/>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6B"/>
    <w:rsid w:val="000248A8"/>
    <w:rsid w:val="00043F74"/>
    <w:rsid w:val="00046B40"/>
    <w:rsid w:val="00077A4A"/>
    <w:rsid w:val="000936C7"/>
    <w:rsid w:val="000F4B0A"/>
    <w:rsid w:val="000F570D"/>
    <w:rsid w:val="00111380"/>
    <w:rsid w:val="00121802"/>
    <w:rsid w:val="00127C4F"/>
    <w:rsid w:val="0015454F"/>
    <w:rsid w:val="00182511"/>
    <w:rsid w:val="001B2A70"/>
    <w:rsid w:val="001C4955"/>
    <w:rsid w:val="001C4CD1"/>
    <w:rsid w:val="00205D4B"/>
    <w:rsid w:val="00264986"/>
    <w:rsid w:val="00274581"/>
    <w:rsid w:val="00287EED"/>
    <w:rsid w:val="002951DC"/>
    <w:rsid w:val="002A32A8"/>
    <w:rsid w:val="002A66F2"/>
    <w:rsid w:val="002B0011"/>
    <w:rsid w:val="002B56CA"/>
    <w:rsid w:val="002C407A"/>
    <w:rsid w:val="002C6E16"/>
    <w:rsid w:val="002D0092"/>
    <w:rsid w:val="002D3643"/>
    <w:rsid w:val="002E698B"/>
    <w:rsid w:val="002F567C"/>
    <w:rsid w:val="002F71A2"/>
    <w:rsid w:val="003201B1"/>
    <w:rsid w:val="003273A3"/>
    <w:rsid w:val="0032748E"/>
    <w:rsid w:val="00375435"/>
    <w:rsid w:val="00381BA2"/>
    <w:rsid w:val="00385181"/>
    <w:rsid w:val="00397C0B"/>
    <w:rsid w:val="003E2B3D"/>
    <w:rsid w:val="003F3B25"/>
    <w:rsid w:val="003F64EC"/>
    <w:rsid w:val="00416C98"/>
    <w:rsid w:val="00427D6E"/>
    <w:rsid w:val="004537B3"/>
    <w:rsid w:val="00483023"/>
    <w:rsid w:val="00486CDC"/>
    <w:rsid w:val="00492A84"/>
    <w:rsid w:val="004C1C55"/>
    <w:rsid w:val="004D1026"/>
    <w:rsid w:val="004E4BE6"/>
    <w:rsid w:val="004F70AF"/>
    <w:rsid w:val="005178FE"/>
    <w:rsid w:val="00521D6D"/>
    <w:rsid w:val="00536AE9"/>
    <w:rsid w:val="005562AD"/>
    <w:rsid w:val="005B6BE0"/>
    <w:rsid w:val="005D207F"/>
    <w:rsid w:val="00611401"/>
    <w:rsid w:val="00631734"/>
    <w:rsid w:val="00650A1A"/>
    <w:rsid w:val="006A1233"/>
    <w:rsid w:val="006D21C4"/>
    <w:rsid w:val="006E7513"/>
    <w:rsid w:val="006F3F8E"/>
    <w:rsid w:val="007117C0"/>
    <w:rsid w:val="00763B72"/>
    <w:rsid w:val="007818A2"/>
    <w:rsid w:val="007908C1"/>
    <w:rsid w:val="00790FA4"/>
    <w:rsid w:val="00795A16"/>
    <w:rsid w:val="00795DA0"/>
    <w:rsid w:val="007A202C"/>
    <w:rsid w:val="007A5825"/>
    <w:rsid w:val="007B3972"/>
    <w:rsid w:val="007B5B79"/>
    <w:rsid w:val="007C39E7"/>
    <w:rsid w:val="007E411F"/>
    <w:rsid w:val="007F2D2E"/>
    <w:rsid w:val="008009F9"/>
    <w:rsid w:val="008230FF"/>
    <w:rsid w:val="00827001"/>
    <w:rsid w:val="00854D58"/>
    <w:rsid w:val="00876834"/>
    <w:rsid w:val="00886803"/>
    <w:rsid w:val="008C1244"/>
    <w:rsid w:val="008C2057"/>
    <w:rsid w:val="008E2E35"/>
    <w:rsid w:val="008F53BB"/>
    <w:rsid w:val="00913B09"/>
    <w:rsid w:val="00922801"/>
    <w:rsid w:val="009346FB"/>
    <w:rsid w:val="00941241"/>
    <w:rsid w:val="009810F2"/>
    <w:rsid w:val="009D46ED"/>
    <w:rsid w:val="009E0349"/>
    <w:rsid w:val="009E3C83"/>
    <w:rsid w:val="009E67F6"/>
    <w:rsid w:val="00A20FD6"/>
    <w:rsid w:val="00A2327C"/>
    <w:rsid w:val="00A268D8"/>
    <w:rsid w:val="00A50CB2"/>
    <w:rsid w:val="00A8356B"/>
    <w:rsid w:val="00A85C92"/>
    <w:rsid w:val="00AA165F"/>
    <w:rsid w:val="00AF7DC3"/>
    <w:rsid w:val="00B054C6"/>
    <w:rsid w:val="00B23D29"/>
    <w:rsid w:val="00B40952"/>
    <w:rsid w:val="00B41EAB"/>
    <w:rsid w:val="00B439E6"/>
    <w:rsid w:val="00B57236"/>
    <w:rsid w:val="00B57641"/>
    <w:rsid w:val="00B765D2"/>
    <w:rsid w:val="00B9584D"/>
    <w:rsid w:val="00BA0E92"/>
    <w:rsid w:val="00BB2C99"/>
    <w:rsid w:val="00BC0577"/>
    <w:rsid w:val="00BC1389"/>
    <w:rsid w:val="00C007E7"/>
    <w:rsid w:val="00C244F4"/>
    <w:rsid w:val="00C25D4D"/>
    <w:rsid w:val="00C3505D"/>
    <w:rsid w:val="00C5140C"/>
    <w:rsid w:val="00C73826"/>
    <w:rsid w:val="00CB7EDA"/>
    <w:rsid w:val="00CC3BC7"/>
    <w:rsid w:val="00CE7278"/>
    <w:rsid w:val="00D06382"/>
    <w:rsid w:val="00D23E1D"/>
    <w:rsid w:val="00D849B1"/>
    <w:rsid w:val="00D95CC6"/>
    <w:rsid w:val="00DA72DF"/>
    <w:rsid w:val="00DB5B1A"/>
    <w:rsid w:val="00E30190"/>
    <w:rsid w:val="00E30A04"/>
    <w:rsid w:val="00E44810"/>
    <w:rsid w:val="00E558B3"/>
    <w:rsid w:val="00E60972"/>
    <w:rsid w:val="00E90572"/>
    <w:rsid w:val="00E9325F"/>
    <w:rsid w:val="00E951EE"/>
    <w:rsid w:val="00EA0C30"/>
    <w:rsid w:val="00EC5D06"/>
    <w:rsid w:val="00EE16B0"/>
    <w:rsid w:val="00F22416"/>
    <w:rsid w:val="00F53FF1"/>
    <w:rsid w:val="00F70331"/>
    <w:rsid w:val="00F763F3"/>
    <w:rsid w:val="00F93DA0"/>
    <w:rsid w:val="00FA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67FC"/>
  <w15:chartTrackingRefBased/>
  <w15:docId w15:val="{C45FE6F3-B6AD-4A95-A29E-3ED5FDBF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56B"/>
    <w:pPr>
      <w:widowControl w:val="0"/>
      <w:jc w:val="both"/>
    </w:pPr>
  </w:style>
  <w:style w:type="paragraph" w:styleId="1">
    <w:name w:val="heading 1"/>
    <w:basedOn w:val="a"/>
    <w:next w:val="a"/>
    <w:link w:val="10"/>
    <w:uiPriority w:val="9"/>
    <w:qFormat/>
    <w:rsid w:val="003F3B25"/>
    <w:pPr>
      <w:keepNext/>
      <w:keepLines/>
      <w:spacing w:before="340" w:after="330" w:line="578" w:lineRule="auto"/>
      <w:outlineLvl w:val="0"/>
    </w:pPr>
    <w:rPr>
      <w:b/>
      <w:bCs/>
      <w:kern w:val="44"/>
      <w:sz w:val="44"/>
      <w:szCs w:val="44"/>
    </w:rPr>
  </w:style>
  <w:style w:type="paragraph" w:styleId="2">
    <w:name w:val="heading 2"/>
    <w:basedOn w:val="a"/>
    <w:next w:val="a0"/>
    <w:link w:val="20"/>
    <w:uiPriority w:val="9"/>
    <w:qFormat/>
    <w:rsid w:val="002F71A2"/>
    <w:pPr>
      <w:keepNext/>
      <w:keepLines/>
      <w:tabs>
        <w:tab w:val="left" w:pos="0"/>
      </w:tabs>
      <w:adjustRightInd w:val="0"/>
      <w:spacing w:line="315" w:lineRule="atLeast"/>
      <w:ind w:firstLine="540"/>
      <w:jc w:val="left"/>
      <w:textAlignment w:val="baseline"/>
      <w:outlineLvl w:val="1"/>
    </w:pPr>
    <w:rPr>
      <w:rFonts w:ascii="Arial" w:eastAsia="宋体" w:hAnsi="Arial" w:cs="Times New Roman"/>
      <w:b/>
      <w:bCs/>
      <w:color w:val="00008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C4C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C4CD1"/>
    <w:rPr>
      <w:sz w:val="18"/>
      <w:szCs w:val="18"/>
    </w:rPr>
  </w:style>
  <w:style w:type="paragraph" w:styleId="a6">
    <w:name w:val="footer"/>
    <w:basedOn w:val="a"/>
    <w:link w:val="a7"/>
    <w:uiPriority w:val="99"/>
    <w:unhideWhenUsed/>
    <w:rsid w:val="001C4CD1"/>
    <w:pPr>
      <w:tabs>
        <w:tab w:val="center" w:pos="4153"/>
        <w:tab w:val="right" w:pos="8306"/>
      </w:tabs>
      <w:snapToGrid w:val="0"/>
      <w:jc w:val="left"/>
    </w:pPr>
    <w:rPr>
      <w:sz w:val="18"/>
      <w:szCs w:val="18"/>
    </w:rPr>
  </w:style>
  <w:style w:type="character" w:customStyle="1" w:styleId="a7">
    <w:name w:val="页脚 字符"/>
    <w:basedOn w:val="a1"/>
    <w:link w:val="a6"/>
    <w:uiPriority w:val="99"/>
    <w:rsid w:val="001C4CD1"/>
    <w:rPr>
      <w:sz w:val="18"/>
      <w:szCs w:val="18"/>
    </w:rPr>
  </w:style>
  <w:style w:type="character" w:customStyle="1" w:styleId="20">
    <w:name w:val="标题 2 字符"/>
    <w:basedOn w:val="a1"/>
    <w:link w:val="2"/>
    <w:uiPriority w:val="9"/>
    <w:rsid w:val="002F71A2"/>
    <w:rPr>
      <w:rFonts w:ascii="Arial" w:eastAsia="宋体" w:hAnsi="Arial" w:cs="Times New Roman"/>
      <w:b/>
      <w:bCs/>
      <w:color w:val="000080"/>
      <w:kern w:val="0"/>
      <w:sz w:val="24"/>
      <w:szCs w:val="24"/>
    </w:rPr>
  </w:style>
  <w:style w:type="character" w:styleId="a8">
    <w:name w:val="Strong"/>
    <w:uiPriority w:val="22"/>
    <w:qFormat/>
    <w:rsid w:val="002F71A2"/>
    <w:rPr>
      <w:b/>
      <w:bCs/>
    </w:rPr>
  </w:style>
  <w:style w:type="paragraph" w:styleId="a0">
    <w:name w:val="Normal Indent"/>
    <w:basedOn w:val="a"/>
    <w:uiPriority w:val="99"/>
    <w:semiHidden/>
    <w:unhideWhenUsed/>
    <w:rsid w:val="002F71A2"/>
    <w:pPr>
      <w:ind w:firstLineChars="200" w:firstLine="420"/>
    </w:pPr>
  </w:style>
  <w:style w:type="character" w:customStyle="1" w:styleId="10">
    <w:name w:val="标题 1 字符"/>
    <w:basedOn w:val="a1"/>
    <w:link w:val="1"/>
    <w:uiPriority w:val="9"/>
    <w:rsid w:val="003F3B25"/>
    <w:rPr>
      <w:b/>
      <w:bCs/>
      <w:kern w:val="44"/>
      <w:sz w:val="44"/>
      <w:szCs w:val="44"/>
    </w:rPr>
  </w:style>
  <w:style w:type="paragraph" w:styleId="a9">
    <w:name w:val="Body Text"/>
    <w:basedOn w:val="a"/>
    <w:link w:val="aa"/>
    <w:uiPriority w:val="1"/>
    <w:qFormat/>
    <w:rsid w:val="003F3B25"/>
    <w:pPr>
      <w:autoSpaceDE w:val="0"/>
      <w:autoSpaceDN w:val="0"/>
      <w:jc w:val="left"/>
    </w:pPr>
    <w:rPr>
      <w:rFonts w:ascii="宋体" w:eastAsia="宋体" w:hAnsi="宋体" w:cs="宋体"/>
      <w:kern w:val="0"/>
      <w:sz w:val="29"/>
      <w:szCs w:val="29"/>
      <w:lang w:eastAsia="en-US"/>
    </w:rPr>
  </w:style>
  <w:style w:type="character" w:customStyle="1" w:styleId="aa">
    <w:name w:val="正文文本 字符"/>
    <w:basedOn w:val="a1"/>
    <w:link w:val="a9"/>
    <w:uiPriority w:val="1"/>
    <w:rsid w:val="003F3B25"/>
    <w:rPr>
      <w:rFonts w:ascii="宋体" w:eastAsia="宋体" w:hAnsi="宋体" w:cs="宋体"/>
      <w:kern w:val="0"/>
      <w:sz w:val="29"/>
      <w:szCs w:val="2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26130">
      <w:bodyDiv w:val="1"/>
      <w:marLeft w:val="0"/>
      <w:marRight w:val="0"/>
      <w:marTop w:val="0"/>
      <w:marBottom w:val="0"/>
      <w:divBdr>
        <w:top w:val="none" w:sz="0" w:space="0" w:color="auto"/>
        <w:left w:val="none" w:sz="0" w:space="0" w:color="auto"/>
        <w:bottom w:val="none" w:sz="0" w:space="0" w:color="auto"/>
        <w:right w:val="none" w:sz="0" w:space="0" w:color="auto"/>
      </w:divBdr>
      <w:divsChild>
        <w:div w:id="2004119175">
          <w:marLeft w:val="0"/>
          <w:marRight w:val="0"/>
          <w:marTop w:val="0"/>
          <w:marBottom w:val="225"/>
          <w:divBdr>
            <w:top w:val="none" w:sz="0" w:space="0" w:color="auto"/>
            <w:left w:val="none" w:sz="0" w:space="0" w:color="auto"/>
            <w:bottom w:val="none" w:sz="0" w:space="0" w:color="auto"/>
            <w:right w:val="none" w:sz="0" w:space="0" w:color="auto"/>
          </w:divBdr>
        </w:div>
        <w:div w:id="1826431536">
          <w:marLeft w:val="0"/>
          <w:marRight w:val="0"/>
          <w:marTop w:val="0"/>
          <w:marBottom w:val="225"/>
          <w:divBdr>
            <w:top w:val="none" w:sz="0" w:space="0" w:color="auto"/>
            <w:left w:val="none" w:sz="0" w:space="0" w:color="auto"/>
            <w:bottom w:val="none" w:sz="0" w:space="0" w:color="auto"/>
            <w:right w:val="none" w:sz="0" w:space="0" w:color="auto"/>
          </w:divBdr>
        </w:div>
      </w:divsChild>
    </w:div>
    <w:div w:id="468480911">
      <w:bodyDiv w:val="1"/>
      <w:marLeft w:val="0"/>
      <w:marRight w:val="0"/>
      <w:marTop w:val="0"/>
      <w:marBottom w:val="0"/>
      <w:divBdr>
        <w:top w:val="none" w:sz="0" w:space="0" w:color="auto"/>
        <w:left w:val="none" w:sz="0" w:space="0" w:color="auto"/>
        <w:bottom w:val="none" w:sz="0" w:space="0" w:color="auto"/>
        <w:right w:val="none" w:sz="0" w:space="0" w:color="auto"/>
      </w:divBdr>
      <w:divsChild>
        <w:div w:id="362679683">
          <w:marLeft w:val="0"/>
          <w:marRight w:val="0"/>
          <w:marTop w:val="0"/>
          <w:marBottom w:val="225"/>
          <w:divBdr>
            <w:top w:val="none" w:sz="0" w:space="0" w:color="auto"/>
            <w:left w:val="none" w:sz="0" w:space="0" w:color="auto"/>
            <w:bottom w:val="none" w:sz="0" w:space="0" w:color="auto"/>
            <w:right w:val="none" w:sz="0" w:space="0" w:color="auto"/>
          </w:divBdr>
        </w:div>
        <w:div w:id="1604386893">
          <w:marLeft w:val="0"/>
          <w:marRight w:val="0"/>
          <w:marTop w:val="0"/>
          <w:marBottom w:val="225"/>
          <w:divBdr>
            <w:top w:val="none" w:sz="0" w:space="0" w:color="auto"/>
            <w:left w:val="none" w:sz="0" w:space="0" w:color="auto"/>
            <w:bottom w:val="none" w:sz="0" w:space="0" w:color="auto"/>
            <w:right w:val="none" w:sz="0" w:space="0" w:color="auto"/>
          </w:divBdr>
        </w:div>
      </w:divsChild>
    </w:div>
    <w:div w:id="699551821">
      <w:bodyDiv w:val="1"/>
      <w:marLeft w:val="0"/>
      <w:marRight w:val="0"/>
      <w:marTop w:val="0"/>
      <w:marBottom w:val="0"/>
      <w:divBdr>
        <w:top w:val="none" w:sz="0" w:space="0" w:color="auto"/>
        <w:left w:val="none" w:sz="0" w:space="0" w:color="auto"/>
        <w:bottom w:val="none" w:sz="0" w:space="0" w:color="auto"/>
        <w:right w:val="none" w:sz="0" w:space="0" w:color="auto"/>
      </w:divBdr>
      <w:divsChild>
        <w:div w:id="1560172352">
          <w:marLeft w:val="0"/>
          <w:marRight w:val="0"/>
          <w:marTop w:val="0"/>
          <w:marBottom w:val="225"/>
          <w:divBdr>
            <w:top w:val="none" w:sz="0" w:space="0" w:color="auto"/>
            <w:left w:val="none" w:sz="0" w:space="0" w:color="auto"/>
            <w:bottom w:val="none" w:sz="0" w:space="0" w:color="auto"/>
            <w:right w:val="none" w:sz="0" w:space="0" w:color="auto"/>
          </w:divBdr>
        </w:div>
        <w:div w:id="1630628731">
          <w:marLeft w:val="0"/>
          <w:marRight w:val="0"/>
          <w:marTop w:val="0"/>
          <w:marBottom w:val="225"/>
          <w:divBdr>
            <w:top w:val="none" w:sz="0" w:space="0" w:color="auto"/>
            <w:left w:val="none" w:sz="0" w:space="0" w:color="auto"/>
            <w:bottom w:val="none" w:sz="0" w:space="0" w:color="auto"/>
            <w:right w:val="none" w:sz="0" w:space="0" w:color="auto"/>
          </w:divBdr>
        </w:div>
        <w:div w:id="2102606811">
          <w:marLeft w:val="0"/>
          <w:marRight w:val="0"/>
          <w:marTop w:val="0"/>
          <w:marBottom w:val="225"/>
          <w:divBdr>
            <w:top w:val="none" w:sz="0" w:space="0" w:color="auto"/>
            <w:left w:val="none" w:sz="0" w:space="0" w:color="auto"/>
            <w:bottom w:val="none" w:sz="0" w:space="0" w:color="auto"/>
            <w:right w:val="none" w:sz="0" w:space="0" w:color="auto"/>
          </w:divBdr>
        </w:div>
        <w:div w:id="1403986798">
          <w:marLeft w:val="0"/>
          <w:marRight w:val="0"/>
          <w:marTop w:val="0"/>
          <w:marBottom w:val="225"/>
          <w:divBdr>
            <w:top w:val="none" w:sz="0" w:space="0" w:color="auto"/>
            <w:left w:val="none" w:sz="0" w:space="0" w:color="auto"/>
            <w:bottom w:val="none" w:sz="0" w:space="0" w:color="auto"/>
            <w:right w:val="none" w:sz="0" w:space="0" w:color="auto"/>
          </w:divBdr>
        </w:div>
        <w:div w:id="901137967">
          <w:marLeft w:val="0"/>
          <w:marRight w:val="0"/>
          <w:marTop w:val="0"/>
          <w:marBottom w:val="225"/>
          <w:divBdr>
            <w:top w:val="none" w:sz="0" w:space="0" w:color="auto"/>
            <w:left w:val="none" w:sz="0" w:space="0" w:color="auto"/>
            <w:bottom w:val="none" w:sz="0" w:space="0" w:color="auto"/>
            <w:right w:val="none" w:sz="0" w:space="0" w:color="auto"/>
          </w:divBdr>
        </w:div>
        <w:div w:id="118453453">
          <w:marLeft w:val="0"/>
          <w:marRight w:val="0"/>
          <w:marTop w:val="0"/>
          <w:marBottom w:val="225"/>
          <w:divBdr>
            <w:top w:val="none" w:sz="0" w:space="0" w:color="auto"/>
            <w:left w:val="none" w:sz="0" w:space="0" w:color="auto"/>
            <w:bottom w:val="none" w:sz="0" w:space="0" w:color="auto"/>
            <w:right w:val="none" w:sz="0" w:space="0" w:color="auto"/>
          </w:divBdr>
        </w:div>
        <w:div w:id="101539017">
          <w:marLeft w:val="0"/>
          <w:marRight w:val="0"/>
          <w:marTop w:val="0"/>
          <w:marBottom w:val="225"/>
          <w:divBdr>
            <w:top w:val="none" w:sz="0" w:space="0" w:color="auto"/>
            <w:left w:val="none" w:sz="0" w:space="0" w:color="auto"/>
            <w:bottom w:val="none" w:sz="0" w:space="0" w:color="auto"/>
            <w:right w:val="none" w:sz="0" w:space="0" w:color="auto"/>
          </w:divBdr>
        </w:div>
        <w:div w:id="575241824">
          <w:marLeft w:val="0"/>
          <w:marRight w:val="0"/>
          <w:marTop w:val="0"/>
          <w:marBottom w:val="225"/>
          <w:divBdr>
            <w:top w:val="none" w:sz="0" w:space="0" w:color="auto"/>
            <w:left w:val="none" w:sz="0" w:space="0" w:color="auto"/>
            <w:bottom w:val="none" w:sz="0" w:space="0" w:color="auto"/>
            <w:right w:val="none" w:sz="0" w:space="0" w:color="auto"/>
          </w:divBdr>
        </w:div>
        <w:div w:id="1693873391">
          <w:marLeft w:val="0"/>
          <w:marRight w:val="0"/>
          <w:marTop w:val="0"/>
          <w:marBottom w:val="225"/>
          <w:divBdr>
            <w:top w:val="none" w:sz="0" w:space="0" w:color="auto"/>
            <w:left w:val="none" w:sz="0" w:space="0" w:color="auto"/>
            <w:bottom w:val="none" w:sz="0" w:space="0" w:color="auto"/>
            <w:right w:val="none" w:sz="0" w:space="0" w:color="auto"/>
          </w:divBdr>
        </w:div>
      </w:divsChild>
    </w:div>
    <w:div w:id="1034383514">
      <w:bodyDiv w:val="1"/>
      <w:marLeft w:val="0"/>
      <w:marRight w:val="0"/>
      <w:marTop w:val="0"/>
      <w:marBottom w:val="0"/>
      <w:divBdr>
        <w:top w:val="none" w:sz="0" w:space="0" w:color="auto"/>
        <w:left w:val="none" w:sz="0" w:space="0" w:color="auto"/>
        <w:bottom w:val="none" w:sz="0" w:space="0" w:color="auto"/>
        <w:right w:val="none" w:sz="0" w:space="0" w:color="auto"/>
      </w:divBdr>
      <w:divsChild>
        <w:div w:id="1837382151">
          <w:marLeft w:val="0"/>
          <w:marRight w:val="0"/>
          <w:marTop w:val="0"/>
          <w:marBottom w:val="225"/>
          <w:divBdr>
            <w:top w:val="none" w:sz="0" w:space="0" w:color="auto"/>
            <w:left w:val="none" w:sz="0" w:space="0" w:color="auto"/>
            <w:bottom w:val="none" w:sz="0" w:space="0" w:color="auto"/>
            <w:right w:val="none" w:sz="0" w:space="0" w:color="auto"/>
          </w:divBdr>
        </w:div>
        <w:div w:id="87700675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杨洋</dc:creator>
  <cp:keywords/>
  <dc:description/>
  <cp:lastModifiedBy>bsumaliang</cp:lastModifiedBy>
  <cp:revision>62</cp:revision>
  <dcterms:created xsi:type="dcterms:W3CDTF">2018-07-13T02:59:00Z</dcterms:created>
  <dcterms:modified xsi:type="dcterms:W3CDTF">2019-02-21T10:08:00Z</dcterms:modified>
</cp:coreProperties>
</file>