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374752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.学生上传答辩前论文，导师进行确认，学生提交</w:t>
      </w:r>
      <w:r w:rsidR="00942174"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本答辩论文、50份论文摘要至学院，学院进行网上确认（研究生上传答辩论文时系统将自动效验是否有学位照片，未采集照片的将不能上传论文，具体照片采集方法详见《关于采集学位照片（单独采集）的通知》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B457D9">
        <w:rPr>
          <w:rFonts w:ascii="仿宋" w:eastAsia="仿宋" w:hAnsi="仿宋" w:hint="eastAsia"/>
          <w:sz w:val="28"/>
          <w:szCs w:val="28"/>
        </w:rPr>
        <w:t>管理规定</w:t>
      </w:r>
      <w:bookmarkStart w:id="0" w:name="_GoBack"/>
      <w:bookmarkEnd w:id="0"/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74752" w:rsidRPr="00374752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74752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</w:t>
      </w:r>
      <w:r w:rsidR="00374752">
        <w:rPr>
          <w:rFonts w:ascii="仿宋" w:eastAsia="仿宋" w:hAnsi="仿宋" w:hint="eastAsia"/>
          <w:sz w:val="28"/>
          <w:szCs w:val="28"/>
        </w:rPr>
        <w:t>博士</w:t>
      </w:r>
      <w:r w:rsidR="00FA6DA8" w:rsidRPr="003226D0">
        <w:rPr>
          <w:rFonts w:ascii="仿宋" w:eastAsia="仿宋" w:hAnsi="仿宋" w:hint="eastAsia"/>
          <w:sz w:val="28"/>
          <w:szCs w:val="28"/>
        </w:rPr>
        <w:t>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FA6DA8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74752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 w:hint="eastAsia"/>
          <w:sz w:val="28"/>
          <w:szCs w:val="28"/>
        </w:rPr>
        <w:t>各学院到研究生院领取论文答辩表决票、研究生培养档案袋、答辩决议书；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.各学院组织答辩秘书进行培训，并下发答辩所需材料，包括</w:t>
      </w:r>
      <w:r w:rsidR="00E37BE0"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本论文、50份摘要、</w:t>
      </w:r>
      <w:r w:rsidR="00E37BE0"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张答辩表决票、答辩决议书、其他网上下载的材料（包括GS511研究生答辩主席词、GS512论文评议书（</w:t>
      </w:r>
      <w:r w:rsidR="00FA6DA8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FA6DA8">
        <w:rPr>
          <w:rFonts w:ascii="仿宋" w:eastAsia="仿宋" w:hAnsi="仿宋" w:hint="eastAsia"/>
          <w:sz w:val="28"/>
          <w:szCs w:val="28"/>
        </w:rPr>
        <w:t>）、GS516答辩聘书、劳务单请到财务处领取（请按照</w:t>
      </w:r>
      <w:r w:rsidR="00D75B29">
        <w:rPr>
          <w:rFonts w:ascii="仿宋" w:eastAsia="仿宋" w:hAnsi="仿宋" w:hint="eastAsia"/>
          <w:sz w:val="28"/>
          <w:szCs w:val="28"/>
        </w:rPr>
        <w:t>财务处</w:t>
      </w:r>
      <w:r w:rsidR="00FA6DA8">
        <w:rPr>
          <w:rFonts w:ascii="仿宋" w:eastAsia="仿宋" w:hAnsi="仿宋" w:hint="eastAsia"/>
          <w:sz w:val="28"/>
          <w:szCs w:val="28"/>
        </w:rPr>
        <w:t>的评审费报销要求办理））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.秘书将聘书、答辩论文送至答辩专家，并告知主席、评阅人下载答辩评议书（GS512），答辩时宣读并提交；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FA6DA8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37BE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E37BE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 w:rsidRPr="00200E9B">
        <w:rPr>
          <w:rFonts w:ascii="仿宋" w:eastAsia="仿宋" w:hAnsi="仿宋" w:hint="eastAsia"/>
          <w:sz w:val="28"/>
          <w:szCs w:val="28"/>
        </w:rPr>
        <w:t xml:space="preserve"> 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协调组织答辩，填写劳务单，收评议书</w:t>
      </w:r>
      <w:r w:rsidR="00E37BE0"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份，表决票</w:t>
      </w:r>
      <w:r w:rsidR="00E37BE0"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份，填写答辩决议书；研究生院进行论文答辩工作检查；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</w:t>
      </w:r>
      <w:r w:rsidR="00FA6DA8">
        <w:rPr>
          <w:rFonts w:ascii="仿宋" w:eastAsia="仿宋" w:hAnsi="仿宋" w:hint="eastAsia"/>
          <w:sz w:val="28"/>
          <w:szCs w:val="28"/>
        </w:rPr>
        <w:t>.答辩秘书将论文评议书、答辩决议书、表决票、劳务单、系统打印版评议书</w:t>
      </w:r>
      <w:r w:rsidR="00465166">
        <w:rPr>
          <w:rFonts w:ascii="仿宋" w:eastAsia="仿宋" w:hAnsi="仿宋" w:hint="eastAsia"/>
          <w:sz w:val="28"/>
          <w:szCs w:val="28"/>
        </w:rPr>
        <w:t>、</w:t>
      </w:r>
      <w:r w:rsidR="00FA6DA8">
        <w:rPr>
          <w:rFonts w:ascii="仿宋" w:eastAsia="仿宋" w:hAnsi="仿宋" w:hint="eastAsia"/>
          <w:sz w:val="28"/>
          <w:szCs w:val="28"/>
        </w:rPr>
        <w:t>决议书提交至学院；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.学院通过系统确认学生论文答辩结果；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.学生上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论文，导师确认；</w:t>
      </w:r>
      <w:r w:rsidR="00E37BE0">
        <w:rPr>
          <w:rFonts w:ascii="仿宋" w:eastAsia="仿宋" w:hAnsi="仿宋" w:hint="eastAsia"/>
          <w:sz w:val="28"/>
          <w:szCs w:val="28"/>
        </w:rPr>
        <w:t>学院对论文质量进行最终审核；</w:t>
      </w:r>
    </w:p>
    <w:p w:rsidR="00E37BE0" w:rsidRDefault="00E37BE0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15.</w:t>
      </w:r>
      <w:r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12月</w:t>
      </w:r>
      <w:r w:rsidRPr="00501B5D">
        <w:rPr>
          <w:rFonts w:ascii="仿宋" w:eastAsia="仿宋" w:hAnsi="仿宋"/>
          <w:b/>
          <w:color w:val="FF0000"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</w:t>
      </w:r>
      <w:r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Pr="00E37BE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研究生院组织学校学位评定委员会、学术委员会相关专家听取各学位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委员会关于博士论文情况的汇报，并对论文进行审核；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37BE0"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.学院收取学生学位申请书、学位信息表（系统打印）、答辩后论文（4本），并在网上确认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337496"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12月</w:t>
      </w:r>
      <w:r w:rsidR="00FA6DA8" w:rsidRPr="00501B5D">
        <w:rPr>
          <w:rFonts w:ascii="仿宋" w:eastAsia="仿宋" w:hAnsi="仿宋"/>
          <w:b/>
          <w:color w:val="FF0000"/>
          <w:sz w:val="28"/>
          <w:szCs w:val="28"/>
          <w:u w:val="single"/>
        </w:rPr>
        <w:t>1</w:t>
      </w:r>
      <w:r w:rsidR="00E37BE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</w:t>
      </w:r>
      <w:r w:rsidR="00FA6DA8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501B5D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FA6DA8">
        <w:rPr>
          <w:rFonts w:ascii="仿宋" w:eastAsia="仿宋" w:hAnsi="仿宋" w:hint="eastAsia"/>
          <w:sz w:val="28"/>
          <w:szCs w:val="28"/>
        </w:rPr>
        <w:t>2</w:t>
      </w:r>
      <w:r w:rsidR="00E37BE0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39" w:rsidRDefault="00437339" w:rsidP="004430E1">
      <w:r>
        <w:separator/>
      </w:r>
    </w:p>
  </w:endnote>
  <w:endnote w:type="continuationSeparator" w:id="0">
    <w:p w:rsidR="00437339" w:rsidRDefault="00437339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39" w:rsidRDefault="00437339" w:rsidP="004430E1">
      <w:r>
        <w:separator/>
      </w:r>
    </w:p>
  </w:footnote>
  <w:footnote w:type="continuationSeparator" w:id="0">
    <w:p w:rsidR="00437339" w:rsidRDefault="00437339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496"/>
    <w:rsid w:val="00337C2A"/>
    <w:rsid w:val="003516EF"/>
    <w:rsid w:val="00362F8E"/>
    <w:rsid w:val="0036675D"/>
    <w:rsid w:val="0037195F"/>
    <w:rsid w:val="00374752"/>
    <w:rsid w:val="0037488D"/>
    <w:rsid w:val="003866C9"/>
    <w:rsid w:val="003926BE"/>
    <w:rsid w:val="003A77A3"/>
    <w:rsid w:val="003C4150"/>
    <w:rsid w:val="003C4473"/>
    <w:rsid w:val="003E626C"/>
    <w:rsid w:val="004055C8"/>
    <w:rsid w:val="00434302"/>
    <w:rsid w:val="004356D3"/>
    <w:rsid w:val="00437339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1A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174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57D9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37BE0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6F6B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163</Words>
  <Characters>933</Characters>
  <Application>Microsoft Office Word</Application>
  <DocSecurity>0</DocSecurity>
  <Lines>7</Lines>
  <Paragraphs>2</Paragraphs>
  <ScaleCrop>false</ScaleCrop>
  <Company> 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54</cp:revision>
  <dcterms:created xsi:type="dcterms:W3CDTF">2018-01-14T09:19:00Z</dcterms:created>
  <dcterms:modified xsi:type="dcterms:W3CDTF">2019-11-28T10:45:00Z</dcterms:modified>
</cp:coreProperties>
</file>